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2414" w14:textId="3A0358F2" w:rsidR="003C3F1A" w:rsidRPr="00276EED" w:rsidRDefault="00EA7F9A" w:rsidP="00E901D3">
      <w:pPr>
        <w:pStyle w:val="a3"/>
      </w:pPr>
      <w:r w:rsidRPr="00EA7F9A">
        <w:t>Wpływ gadolinu na właściwości magnetyczne nanocząstek na bazie tlenku żelaza</w:t>
      </w:r>
    </w:p>
    <w:p w14:paraId="2535A1C6" w14:textId="74170F61" w:rsidR="003C3F1A" w:rsidRPr="00823D98" w:rsidRDefault="00960590" w:rsidP="00823D98">
      <w:pPr>
        <w:pStyle w:val="Autorzy"/>
      </w:pPr>
      <w:r>
        <w:rPr>
          <w:caps w:val="0"/>
          <w:u w:val="single"/>
        </w:rPr>
        <w:t>Władysław Gumiennik</w:t>
      </w:r>
      <w:r w:rsidR="003C3F1A" w:rsidRPr="00EF7B9D">
        <w:rPr>
          <w:caps w:val="0"/>
          <w:vertAlign w:val="superscript"/>
        </w:rPr>
        <w:t>1,</w:t>
      </w:r>
      <w:r>
        <w:rPr>
          <w:caps w:val="0"/>
          <w:vertAlign w:val="superscript"/>
        </w:rPr>
        <w:t>2,</w:t>
      </w:r>
      <w:r w:rsidR="003C3F1A" w:rsidRPr="00EF7B9D">
        <w:rPr>
          <w:caps w:val="0"/>
          <w:vertAlign w:val="superscript"/>
        </w:rPr>
        <w:t>*</w:t>
      </w:r>
      <w:r w:rsidR="003C3F1A" w:rsidRPr="004C736B">
        <w:rPr>
          <w:caps w:val="0"/>
        </w:rPr>
        <w:t xml:space="preserve">, </w:t>
      </w:r>
      <w:r w:rsidR="00823D98">
        <w:rPr>
          <w:caps w:val="0"/>
        </w:rPr>
        <w:t>Janusz Przewo</w:t>
      </w:r>
      <w:r w:rsidR="00823D98" w:rsidRPr="00960590">
        <w:rPr>
          <w:caps w:val="0"/>
        </w:rPr>
        <w:t>ź</w:t>
      </w:r>
      <w:r w:rsidR="00823D98">
        <w:rPr>
          <w:caps w:val="0"/>
        </w:rPr>
        <w:t>nik</w:t>
      </w:r>
      <w:r w:rsidR="00823D98">
        <w:rPr>
          <w:vertAlign w:val="superscript"/>
        </w:rPr>
        <w:t>1</w:t>
      </w:r>
      <w:r w:rsidR="00823D98">
        <w:t xml:space="preserve">, </w:t>
      </w:r>
      <w:r>
        <w:rPr>
          <w:caps w:val="0"/>
        </w:rPr>
        <w:t>Julia Fedotova</w:t>
      </w:r>
      <w:r w:rsidR="008A081D">
        <w:rPr>
          <w:vertAlign w:val="superscript"/>
        </w:rPr>
        <w:t>2</w:t>
      </w:r>
      <w:r>
        <w:rPr>
          <w:caps w:val="0"/>
        </w:rPr>
        <w:t>,</w:t>
      </w:r>
      <w:r w:rsidR="00823D98">
        <w:rPr>
          <w:caps w:val="0"/>
        </w:rPr>
        <w:t xml:space="preserve"> </w:t>
      </w:r>
      <w:r w:rsidR="00665B0D">
        <w:rPr>
          <w:caps w:val="0"/>
        </w:rPr>
        <w:br/>
      </w:r>
      <w:r w:rsidR="00823D98">
        <w:rPr>
          <w:caps w:val="0"/>
        </w:rPr>
        <w:t>Andrei</w:t>
      </w:r>
      <w:r w:rsidR="00823D98" w:rsidRPr="00823D98">
        <w:rPr>
          <w:caps w:val="0"/>
        </w:rPr>
        <w:t xml:space="preserve"> Kharchenko</w:t>
      </w:r>
      <w:r w:rsidR="00823D98">
        <w:rPr>
          <w:vertAlign w:val="superscript"/>
        </w:rPr>
        <w:t>2</w:t>
      </w:r>
      <w:r w:rsidR="00665B0D">
        <w:rPr>
          <w:caps w:val="0"/>
        </w:rPr>
        <w:t xml:space="preserve"> </w:t>
      </w:r>
      <w:r w:rsidR="00823D98">
        <w:rPr>
          <w:caps w:val="0"/>
        </w:rPr>
        <w:t xml:space="preserve">Mikhail </w:t>
      </w:r>
      <w:r w:rsidR="00823D98" w:rsidRPr="00823D98">
        <w:rPr>
          <w:caps w:val="0"/>
        </w:rPr>
        <w:t>Degtyarik</w:t>
      </w:r>
      <w:r w:rsidR="00823D98">
        <w:rPr>
          <w:vertAlign w:val="superscript"/>
        </w:rPr>
        <w:t>3</w:t>
      </w:r>
      <w:r w:rsidR="00823D98">
        <w:rPr>
          <w:caps w:val="0"/>
        </w:rPr>
        <w:t>, Svetlana Vorobyova</w:t>
      </w:r>
      <w:r w:rsidR="00823D98">
        <w:rPr>
          <w:vertAlign w:val="superscript"/>
        </w:rPr>
        <w:t>3</w:t>
      </w:r>
      <w:r w:rsidR="00823D98">
        <w:t xml:space="preserve">, </w:t>
      </w:r>
      <w:r w:rsidR="00823D98">
        <w:rPr>
          <w:caps w:val="0"/>
        </w:rPr>
        <w:t>Czesław Kapusta</w:t>
      </w:r>
      <w:r w:rsidR="00823D98">
        <w:rPr>
          <w:vertAlign w:val="superscript"/>
        </w:rPr>
        <w:t>1</w:t>
      </w:r>
    </w:p>
    <w:p w14:paraId="3856FF0E" w14:textId="202BCC34" w:rsidR="008A081D" w:rsidRDefault="008A081D" w:rsidP="008A081D">
      <w:pPr>
        <w:pStyle w:val="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Pr="008A081D">
        <w:rPr>
          <w:b w:val="0"/>
        </w:rPr>
        <w:t>Akademia Górniczo-Hutnicza im. Stanisława Staszica w Krakowie</w:t>
      </w:r>
      <w:r w:rsidRPr="00276EED">
        <w:rPr>
          <w:b w:val="0"/>
        </w:rPr>
        <w:t xml:space="preserve">, </w:t>
      </w:r>
      <w:r>
        <w:rPr>
          <w:b w:val="0"/>
        </w:rPr>
        <w:br/>
        <w:t>Aleja Mickiewicza 30</w:t>
      </w:r>
      <w:r w:rsidRPr="00276EED">
        <w:rPr>
          <w:b w:val="0"/>
        </w:rPr>
        <w:t xml:space="preserve">, </w:t>
      </w:r>
      <w:r>
        <w:rPr>
          <w:b w:val="0"/>
        </w:rPr>
        <w:t>30-059</w:t>
      </w:r>
      <w:r w:rsidRPr="004C736B">
        <w:rPr>
          <w:b w:val="0"/>
        </w:rPr>
        <w:t xml:space="preserve"> </w:t>
      </w:r>
      <w:r>
        <w:rPr>
          <w:b w:val="0"/>
        </w:rPr>
        <w:t>Kraków, Polska</w:t>
      </w:r>
    </w:p>
    <w:p w14:paraId="49C6C83B" w14:textId="0B7BE403" w:rsidR="008A081D" w:rsidRDefault="008A081D" w:rsidP="008A081D">
      <w:pPr>
        <w:pStyle w:val="1"/>
        <w:tabs>
          <w:tab w:val="clear" w:pos="284"/>
        </w:tabs>
        <w:spacing w:line="240" w:lineRule="auto"/>
        <w:rPr>
          <w:b w:val="0"/>
        </w:rPr>
      </w:pPr>
      <w:r>
        <w:rPr>
          <w:b w:val="0"/>
          <w:vertAlign w:val="superscript"/>
        </w:rPr>
        <w:t>2</w:t>
      </w:r>
      <w:r w:rsidRPr="00960590">
        <w:rPr>
          <w:b w:val="0"/>
        </w:rPr>
        <w:t>Instytut Problemów Jądrowych</w:t>
      </w:r>
      <w:r>
        <w:rPr>
          <w:b w:val="0"/>
        </w:rPr>
        <w:t xml:space="preserve">, </w:t>
      </w:r>
      <w:r w:rsidRPr="00960590">
        <w:rPr>
          <w:b w:val="0"/>
        </w:rPr>
        <w:t>Białoruski Uniwersytet Państwowy</w:t>
      </w:r>
      <w:r w:rsidRPr="00276EED">
        <w:rPr>
          <w:b w:val="0"/>
        </w:rPr>
        <w:t xml:space="preserve">, </w:t>
      </w:r>
      <w:r>
        <w:rPr>
          <w:b w:val="0"/>
        </w:rPr>
        <w:br/>
        <w:t>ul. Bobrujska 11</w:t>
      </w:r>
      <w:r w:rsidRPr="00276EED">
        <w:rPr>
          <w:b w:val="0"/>
        </w:rPr>
        <w:t xml:space="preserve">, </w:t>
      </w:r>
      <w:r>
        <w:rPr>
          <w:b w:val="0"/>
        </w:rPr>
        <w:t>220006</w:t>
      </w:r>
      <w:r w:rsidRPr="004C736B">
        <w:rPr>
          <w:b w:val="0"/>
        </w:rPr>
        <w:t xml:space="preserve"> </w:t>
      </w:r>
      <w:r>
        <w:rPr>
          <w:b w:val="0"/>
        </w:rPr>
        <w:t>Mińsk, Białoruś</w:t>
      </w:r>
    </w:p>
    <w:p w14:paraId="7AE7A1AB" w14:textId="5E03BFB9" w:rsidR="008A081D" w:rsidRPr="00665B0D" w:rsidRDefault="00F5740D" w:rsidP="008A081D">
      <w:pPr>
        <w:pStyle w:val="1"/>
        <w:tabs>
          <w:tab w:val="clear" w:pos="284"/>
        </w:tabs>
        <w:spacing w:line="240" w:lineRule="auto"/>
        <w:rPr>
          <w:b w:val="0"/>
        </w:rPr>
      </w:pPr>
      <w:r>
        <w:rPr>
          <w:b w:val="0"/>
          <w:vertAlign w:val="superscript"/>
        </w:rPr>
        <w:t>3</w:t>
      </w:r>
      <w:r w:rsidR="008A081D" w:rsidRPr="008A081D">
        <w:rPr>
          <w:b w:val="0"/>
        </w:rPr>
        <w:t>Instytut Badawczy Problemów Fizyko-Chemicznych</w:t>
      </w:r>
      <w:r w:rsidR="008A081D">
        <w:rPr>
          <w:b w:val="0"/>
        </w:rPr>
        <w:t xml:space="preserve">, </w:t>
      </w:r>
      <w:r w:rsidR="008A081D" w:rsidRPr="00960590">
        <w:rPr>
          <w:b w:val="0"/>
        </w:rPr>
        <w:t>Białoruski Uniwersytet Państwowy</w:t>
      </w:r>
      <w:r w:rsidR="008A081D" w:rsidRPr="00276EED">
        <w:rPr>
          <w:b w:val="0"/>
        </w:rPr>
        <w:t xml:space="preserve">, </w:t>
      </w:r>
      <w:r w:rsidR="008A081D">
        <w:rPr>
          <w:b w:val="0"/>
        </w:rPr>
        <w:br/>
        <w:t xml:space="preserve">ul. </w:t>
      </w:r>
      <w:r w:rsidR="008A081D" w:rsidRPr="00665B0D">
        <w:rPr>
          <w:b w:val="0"/>
        </w:rPr>
        <w:t>Leningradzka 14, 220006 Mińsk, Białoruś</w:t>
      </w:r>
    </w:p>
    <w:p w14:paraId="32ABB19A" w14:textId="259D316A" w:rsidR="003C3F1A" w:rsidRPr="00153558" w:rsidRDefault="003C3F1A" w:rsidP="003C3F1A">
      <w:pPr>
        <w:pStyle w:val="1"/>
        <w:tabs>
          <w:tab w:val="clear" w:pos="284"/>
        </w:tabs>
        <w:spacing w:line="240" w:lineRule="auto"/>
      </w:pPr>
    </w:p>
    <w:p w14:paraId="7FC937DC" w14:textId="5CFA9EF0" w:rsidR="003C3F1A" w:rsidRPr="00665B0D" w:rsidRDefault="003C3F1A" w:rsidP="003C3F1A">
      <w:pPr>
        <w:pStyle w:val="email"/>
        <w:jc w:val="left"/>
      </w:pPr>
      <w:r w:rsidRPr="00665B0D">
        <w:rPr>
          <w:vertAlign w:val="superscript"/>
        </w:rPr>
        <w:t>*</w:t>
      </w:r>
      <w:r w:rsidRPr="00665B0D">
        <w:t xml:space="preserve">autor korespondencyjny: </w:t>
      </w:r>
      <w:r w:rsidR="00960590" w:rsidRPr="00665B0D">
        <w:t>uladzislaw.gumiennik@gmail.com</w:t>
      </w:r>
    </w:p>
    <w:p w14:paraId="2744A55F" w14:textId="367ECCB3" w:rsidR="00E901D3" w:rsidRPr="00284B5C" w:rsidRDefault="003942AE" w:rsidP="00825B50">
      <w:pPr>
        <w:pStyle w:val="a5"/>
        <w:spacing w:line="240" w:lineRule="auto"/>
        <w:ind w:firstLine="0"/>
      </w:pPr>
      <w:r>
        <w:tab/>
      </w:r>
      <w:r w:rsidR="00E901D3" w:rsidRPr="00284B5C">
        <w:t xml:space="preserve">Zastosowania nanotechnologii w tworzeniu nowych urządzeń biomedycznych obejmują kilka interdyscyplinarnych obszarów nanomedycyny, diagnostyki i nanoteranostyki [1]. W niniejszej pracy badamy </w:t>
      </w:r>
      <w:r w:rsidR="00EA7F9A" w:rsidRPr="00284B5C">
        <w:rPr>
          <w:lang w:val="cs-CZ"/>
        </w:rPr>
        <w:t>w</w:t>
      </w:r>
      <w:r w:rsidR="00EA7F9A" w:rsidRPr="00284B5C">
        <w:t>pływ gadolinu na właściwości magnetyczne i strukturalne nanocząstek na bazie tlenku żelaza w</w:t>
      </w:r>
      <w:r w:rsidR="00153558" w:rsidRPr="00284B5C">
        <w:t xml:space="preserve"> </w:t>
      </w:r>
      <w:r w:rsidR="00DC29C6" w:rsidRPr="00754365">
        <w:t xml:space="preserve">otoczkach </w:t>
      </w:r>
      <w:r w:rsidR="00E901D3" w:rsidRPr="00284B5C">
        <w:t>SiO</w:t>
      </w:r>
      <w:r w:rsidR="00E901D3" w:rsidRPr="00284B5C">
        <w:rPr>
          <w:vertAlign w:val="subscript"/>
        </w:rPr>
        <w:t>2</w:t>
      </w:r>
      <w:r w:rsidR="00E901D3" w:rsidRPr="00284B5C">
        <w:t>.</w:t>
      </w:r>
    </w:p>
    <w:p w14:paraId="1649B42D" w14:textId="397FBF80" w:rsidR="003E3D11" w:rsidRPr="00284B5C" w:rsidRDefault="00466E68" w:rsidP="003E3D11">
      <w:pPr>
        <w:pStyle w:val="a5"/>
        <w:spacing w:line="240" w:lineRule="auto"/>
        <w:ind w:firstLine="0"/>
      </w:pPr>
      <w:r>
        <w:rPr>
          <w:noProof/>
          <w:lang w:val="ru-RU" w:eastAsia="ru-RU"/>
        </w:rPr>
        <w:drawing>
          <wp:anchor distT="0" distB="0" distL="71755" distR="71755" simplePos="0" relativeHeight="251663360" behindDoc="1" locked="0" layoutInCell="1" allowOverlap="1" wp14:anchorId="28FCCF07" wp14:editId="705214A6">
            <wp:simplePos x="0" y="0"/>
            <wp:positionH relativeFrom="column">
              <wp:posOffset>-13335</wp:posOffset>
            </wp:positionH>
            <wp:positionV relativeFrom="paragraph">
              <wp:posOffset>16510</wp:posOffset>
            </wp:positionV>
            <wp:extent cx="3641090" cy="2531745"/>
            <wp:effectExtent l="0" t="0" r="0" b="1905"/>
            <wp:wrapTight wrapText="bothSides">
              <wp:wrapPolygon edited="0">
                <wp:start x="0" y="0"/>
                <wp:lineTo x="0" y="21454"/>
                <wp:lineTo x="21472" y="21454"/>
                <wp:lineTo x="214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" t="4011" r="3726" b="1804"/>
                    <a:stretch/>
                  </pic:blipFill>
                  <pic:spPr bwMode="auto">
                    <a:xfrm>
                      <a:off x="0" y="0"/>
                      <a:ext cx="3641090" cy="253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11" w:rsidRPr="00284B5C">
        <w:tab/>
      </w:r>
      <w:r w:rsidR="00DC29C6" w:rsidRPr="00754365">
        <w:t xml:space="preserve">Nanocząstki zostały </w:t>
      </w:r>
      <w:r w:rsidR="00D15A7D" w:rsidRPr="00754365">
        <w:t xml:space="preserve">otrzymane </w:t>
      </w:r>
      <w:r w:rsidR="003E3D11" w:rsidRPr="00754365">
        <w:t>metodą współstrącania</w:t>
      </w:r>
      <w:r w:rsidR="00D15A7D" w:rsidRPr="00754365">
        <w:t xml:space="preserve"> a otoczki</w:t>
      </w:r>
      <w:r w:rsidR="006C6F7A">
        <w:t xml:space="preserve"> – </w:t>
      </w:r>
      <w:r w:rsidR="003E3D11" w:rsidRPr="00284B5C">
        <w:t>przez hydrolizę tetraetoksysilanu</w:t>
      </w:r>
      <w:r w:rsidR="00EA609F" w:rsidRPr="00284B5C">
        <w:t xml:space="preserve"> (TEOS) [2]</w:t>
      </w:r>
      <w:r w:rsidR="003E3D11" w:rsidRPr="00284B5C">
        <w:t>.</w:t>
      </w:r>
    </w:p>
    <w:p w14:paraId="3839FDC2" w14:textId="13164406" w:rsidR="008479BF" w:rsidRDefault="007E046B" w:rsidP="008479BF">
      <w:pPr>
        <w:pStyle w:val="a5"/>
        <w:spacing w:line="240" w:lineRule="auto"/>
        <w:ind w:firstLine="0"/>
      </w:pPr>
      <w:r w:rsidRPr="00284B5C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F5B4B" wp14:editId="1E8FDDDA">
                <wp:simplePos x="0" y="0"/>
                <wp:positionH relativeFrom="column">
                  <wp:posOffset>100330</wp:posOffset>
                </wp:positionH>
                <wp:positionV relativeFrom="paragraph">
                  <wp:posOffset>1837690</wp:posOffset>
                </wp:positionV>
                <wp:extent cx="347091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42CE" w14:textId="1EBD8F93" w:rsidR="003942AE" w:rsidRPr="00086192" w:rsidRDefault="00086192" w:rsidP="003942A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6192">
                              <w:rPr>
                                <w:sz w:val="20"/>
                                <w:szCs w:val="20"/>
                              </w:rPr>
                              <w:t xml:space="preserve">Zależności </w:t>
                            </w:r>
                            <w:r w:rsidRPr="009465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namagnesowania</w:t>
                            </w:r>
                            <w:r w:rsidR="004509AB" w:rsidRPr="009465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30727" w:rsidRPr="00946561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6C6F7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9AB" w:rsidRPr="009465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07E7F" w:rsidRPr="009465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Gd</w:t>
                            </w:r>
                            <w:r w:rsidR="00C07E7F" w:rsidRPr="00946561">
                              <w:rPr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r w:rsidR="00C07E7F" w:rsidRPr="0094656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Fe</w:t>
                            </w:r>
                            <w:r w:rsidR="00C07E7F" w:rsidRPr="00946561">
                              <w:rPr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C07E7F" w:rsidRPr="00086192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-x</w:t>
                            </w:r>
                            <w:r w:rsidR="00C07E7F" w:rsidRPr="0008619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C07E7F" w:rsidRPr="00086192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C07E7F" w:rsidRPr="00086192">
                              <w:rPr>
                                <w:sz w:val="20"/>
                                <w:szCs w:val="20"/>
                              </w:rPr>
                              <w:t>-SiO</w:t>
                            </w:r>
                            <w:r w:rsidR="00C07E7F" w:rsidRPr="00086192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C07E7F" w:rsidRPr="00086192">
                              <w:rPr>
                                <w:sz w:val="20"/>
                                <w:szCs w:val="20"/>
                              </w:rPr>
                              <w:t xml:space="preserve">, gdzie </w:t>
                            </w:r>
                            <w:r w:rsidR="00C07E7F" w:rsidRPr="0008619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 w:rsidR="00C07E7F" w:rsidRPr="00086192">
                              <w:rPr>
                                <w:sz w:val="20"/>
                                <w:szCs w:val="20"/>
                              </w:rPr>
                              <w:t xml:space="preserve"> = 0; 0,03; 0,07</w:t>
                            </w:r>
                            <w:r w:rsidR="00C07E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192">
                              <w:rPr>
                                <w:sz w:val="20"/>
                                <w:szCs w:val="20"/>
                              </w:rPr>
                              <w:t xml:space="preserve">od pola magnetycznego </w:t>
                            </w:r>
                            <w:r w:rsidR="00C07E7F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C07E7F" w:rsidRPr="00C07E7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 w:rsidR="005A6AA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AA2" w:rsidRPr="005A6AA2">
                              <w:rPr>
                                <w:sz w:val="20"/>
                                <w:szCs w:val="20"/>
                              </w:rPr>
                              <w:t>(wstawka)</w:t>
                            </w:r>
                            <w:r w:rsidR="00C07E7F">
                              <w:rPr>
                                <w:sz w:val="20"/>
                                <w:szCs w:val="20"/>
                              </w:rPr>
                              <w:t xml:space="preserve"> w 2K i 300K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F5B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9pt;margin-top:144.7pt;width:27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" filled="f" stroked="f">
                <v:textbox style="mso-fit-shape-to-text:t">
                  <w:txbxContent>
                    <w:p w14:paraId="70A842CE" w14:textId="1EBD8F93" w:rsidR="003942AE" w:rsidRPr="00086192" w:rsidRDefault="00086192" w:rsidP="003942A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6192">
                        <w:rPr>
                          <w:sz w:val="20"/>
                          <w:szCs w:val="20"/>
                        </w:rPr>
                        <w:t xml:space="preserve">Zależności </w:t>
                      </w:r>
                      <w:r w:rsidRPr="00946561">
                        <w:rPr>
                          <w:color w:val="000000" w:themeColor="text1"/>
                          <w:sz w:val="20"/>
                          <w:szCs w:val="20"/>
                        </w:rPr>
                        <w:t>namagnesowania</w:t>
                      </w:r>
                      <w:r w:rsidR="004509AB" w:rsidRPr="0094656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930727" w:rsidRPr="00946561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6C6F7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09AB" w:rsidRPr="0094656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="00C07E7F" w:rsidRPr="00946561">
                        <w:rPr>
                          <w:color w:val="000000" w:themeColor="text1"/>
                          <w:sz w:val="20"/>
                          <w:szCs w:val="20"/>
                        </w:rPr>
                        <w:t>Gd</w:t>
                      </w:r>
                      <w:r w:rsidR="00C07E7F" w:rsidRPr="00946561">
                        <w:rPr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x</w:t>
                      </w:r>
                      <w:r w:rsidR="00C07E7F" w:rsidRPr="00946561">
                        <w:rPr>
                          <w:color w:val="000000" w:themeColor="text1"/>
                          <w:sz w:val="20"/>
                          <w:szCs w:val="20"/>
                        </w:rPr>
                        <w:t>Fe</w:t>
                      </w:r>
                      <w:r w:rsidR="00C07E7F" w:rsidRPr="00946561">
                        <w:rPr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C07E7F" w:rsidRPr="00086192">
                        <w:rPr>
                          <w:sz w:val="20"/>
                          <w:szCs w:val="20"/>
                          <w:vertAlign w:val="subscript"/>
                        </w:rPr>
                        <w:t>-x</w:t>
                      </w:r>
                      <w:r w:rsidR="00C07E7F" w:rsidRPr="00086192">
                        <w:rPr>
                          <w:sz w:val="20"/>
                          <w:szCs w:val="20"/>
                        </w:rPr>
                        <w:t>O</w:t>
                      </w:r>
                      <w:r w:rsidR="00C07E7F" w:rsidRPr="00086192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="00C07E7F" w:rsidRPr="00086192">
                        <w:rPr>
                          <w:sz w:val="20"/>
                          <w:szCs w:val="20"/>
                        </w:rPr>
                        <w:t>-SiO</w:t>
                      </w:r>
                      <w:r w:rsidR="00C07E7F" w:rsidRPr="00086192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C07E7F" w:rsidRPr="00086192">
                        <w:rPr>
                          <w:sz w:val="20"/>
                          <w:szCs w:val="20"/>
                        </w:rPr>
                        <w:t xml:space="preserve">, gdzie </w:t>
                      </w:r>
                      <w:r w:rsidR="00C07E7F" w:rsidRPr="00086192">
                        <w:rPr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 w:rsidR="00C07E7F" w:rsidRPr="00086192">
                        <w:rPr>
                          <w:sz w:val="20"/>
                          <w:szCs w:val="20"/>
                        </w:rPr>
                        <w:t xml:space="preserve"> = 0; 0,03; 0,07</w:t>
                      </w:r>
                      <w:r w:rsidR="00C07E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86192">
                        <w:rPr>
                          <w:sz w:val="20"/>
                          <w:szCs w:val="20"/>
                        </w:rPr>
                        <w:t xml:space="preserve">od pola magnetycznego </w:t>
                      </w:r>
                      <w:r w:rsidR="00C07E7F"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="00C07E7F" w:rsidRPr="00C07E7F">
                        <w:rPr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 w:rsidR="005A6AA2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A6AA2" w:rsidRPr="005A6AA2">
                        <w:rPr>
                          <w:sz w:val="20"/>
                          <w:szCs w:val="20"/>
                        </w:rPr>
                        <w:t>(wstawka)</w:t>
                      </w:r>
                      <w:r w:rsidR="00C07E7F">
                        <w:rPr>
                          <w:sz w:val="20"/>
                          <w:szCs w:val="20"/>
                        </w:rPr>
                        <w:t xml:space="preserve"> w 2K i 300K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09F" w:rsidRPr="00284B5C">
        <w:tab/>
        <w:t xml:space="preserve">Badania </w:t>
      </w:r>
      <w:r w:rsidR="00D15A7D" w:rsidRPr="00754365">
        <w:t xml:space="preserve">metodą </w:t>
      </w:r>
      <w:r w:rsidR="00EA609F" w:rsidRPr="00284B5C">
        <w:t xml:space="preserve">dyfrakcji rentgenowskiej wykazały, że </w:t>
      </w:r>
      <w:r w:rsidR="00763973" w:rsidRPr="00284B5C">
        <w:t xml:space="preserve">zostały </w:t>
      </w:r>
      <w:r w:rsidR="00D15A7D" w:rsidRPr="00754365">
        <w:t>otrzyman</w:t>
      </w:r>
      <w:r w:rsidR="00763973" w:rsidRPr="00754365">
        <w:t>e</w:t>
      </w:r>
      <w:r w:rsidR="00127464" w:rsidRPr="00754365">
        <w:t xml:space="preserve"> dwufazowe</w:t>
      </w:r>
      <w:r w:rsidR="00EA609F" w:rsidRPr="00754365">
        <w:t xml:space="preserve"> nanocząstki</w:t>
      </w:r>
      <w:r w:rsidR="00D86E9C">
        <w:t xml:space="preserve"> FeOOH i </w:t>
      </w:r>
      <w:r w:rsidR="00EA609F" w:rsidRPr="00284B5C">
        <w:rPr>
          <w:lang w:val="en-US"/>
        </w:rPr>
        <w:t>γ</w:t>
      </w:r>
      <w:r w:rsidR="00EA609F" w:rsidRPr="00284B5C">
        <w:t>-Fe</w:t>
      </w:r>
      <w:r w:rsidR="00EA609F" w:rsidRPr="00284B5C">
        <w:rPr>
          <w:vertAlign w:val="subscript"/>
        </w:rPr>
        <w:t>2</w:t>
      </w:r>
      <w:r w:rsidR="00EA609F" w:rsidRPr="00284B5C">
        <w:t>O</w:t>
      </w:r>
      <w:r w:rsidR="00EA609F" w:rsidRPr="00284B5C">
        <w:rPr>
          <w:vertAlign w:val="subscript"/>
        </w:rPr>
        <w:t>3</w:t>
      </w:r>
      <w:r w:rsidR="00E9487E" w:rsidRPr="00284B5C">
        <w:t>, ze względnym udziałem masowym około 1:1.</w:t>
      </w:r>
      <w:r w:rsidR="009B7536" w:rsidRPr="00284B5C">
        <w:t xml:space="preserve"> W celu</w:t>
      </w:r>
      <w:r w:rsidR="00754365">
        <w:t xml:space="preserve"> transformacji fazy FeOOH do α-</w:t>
      </w:r>
      <w:r w:rsidR="009B7536" w:rsidRPr="00284B5C">
        <w:t>Fe</w:t>
      </w:r>
      <w:r w:rsidR="009B7536" w:rsidRPr="00284B5C">
        <w:rPr>
          <w:vertAlign w:val="subscript"/>
        </w:rPr>
        <w:t>2</w:t>
      </w:r>
      <w:r w:rsidR="009B7536" w:rsidRPr="00284B5C">
        <w:t>O</w:t>
      </w:r>
      <w:r w:rsidR="009B7536" w:rsidRPr="00284B5C">
        <w:rPr>
          <w:vertAlign w:val="subscript"/>
        </w:rPr>
        <w:t>3</w:t>
      </w:r>
      <w:r w:rsidR="009B7536" w:rsidRPr="00284B5C">
        <w:t xml:space="preserve"> </w:t>
      </w:r>
      <w:r w:rsidR="00257BBE" w:rsidRPr="00284B5C">
        <w:t xml:space="preserve">zostały </w:t>
      </w:r>
      <w:r w:rsidR="00763973" w:rsidRPr="00284B5C">
        <w:t xml:space="preserve">one dodatkowo </w:t>
      </w:r>
      <w:r w:rsidR="00257BBE" w:rsidRPr="00284B5C">
        <w:t>wy</w:t>
      </w:r>
      <w:r w:rsidR="009B7536" w:rsidRPr="00284B5C">
        <w:t>grz</w:t>
      </w:r>
      <w:r w:rsidR="00257BBE" w:rsidRPr="00284B5C">
        <w:t>a</w:t>
      </w:r>
      <w:r w:rsidR="009B7536" w:rsidRPr="00284B5C">
        <w:t>n</w:t>
      </w:r>
      <w:r w:rsidR="00257BBE" w:rsidRPr="00284B5C">
        <w:t>e</w:t>
      </w:r>
      <w:r w:rsidR="009B7536" w:rsidRPr="00284B5C">
        <w:t xml:space="preserve"> </w:t>
      </w:r>
      <w:r w:rsidR="00257BBE" w:rsidRPr="00284B5C">
        <w:t xml:space="preserve">przez 4 godziny </w:t>
      </w:r>
      <w:r w:rsidR="009B7536" w:rsidRPr="00284B5C">
        <w:t>w 240ºC w próżni 1,7 hPa [3].</w:t>
      </w:r>
      <w:r w:rsidR="008479BF">
        <w:t xml:space="preserve"> </w:t>
      </w:r>
      <w:r w:rsidR="0054400E">
        <w:t>Po w</w:t>
      </w:r>
      <w:r w:rsidR="008479BF">
        <w:t>yg</w:t>
      </w:r>
      <w:r w:rsidR="0054400E">
        <w:t>rzaniu p</w:t>
      </w:r>
      <w:r w:rsidR="008479BF">
        <w:t xml:space="preserve">róbki </w:t>
      </w:r>
      <w:r w:rsidR="00E9487E">
        <w:t xml:space="preserve">pozostały </w:t>
      </w:r>
      <w:r w:rsidR="008479BF">
        <w:t>dwufazow</w:t>
      </w:r>
      <w:r w:rsidR="0054400E">
        <w:t>e</w:t>
      </w:r>
      <w:r w:rsidR="00E9487E">
        <w:t xml:space="preserve"> i z podobnym względnym</w:t>
      </w:r>
      <w:r w:rsidR="007E77F6">
        <w:t xml:space="preserve"> udziałem</w:t>
      </w:r>
      <w:r w:rsidR="0054400E">
        <w:t xml:space="preserve"> </w:t>
      </w:r>
      <w:r w:rsidR="007E77F6">
        <w:t xml:space="preserve">faz </w:t>
      </w:r>
      <w:r w:rsidR="00501F8E">
        <w:t>α- Fe</w:t>
      </w:r>
      <w:r w:rsidR="00501F8E">
        <w:rPr>
          <w:vertAlign w:val="subscript"/>
        </w:rPr>
        <w:t>2</w:t>
      </w:r>
      <w:r w:rsidR="00501F8E">
        <w:t>O</w:t>
      </w:r>
      <w:r w:rsidR="00501F8E">
        <w:rPr>
          <w:vertAlign w:val="subscript"/>
        </w:rPr>
        <w:t>3</w:t>
      </w:r>
      <w:r w:rsidR="00D86E9C" w:rsidRPr="00D86E9C">
        <w:rPr>
          <w:color w:val="000000" w:themeColor="text1"/>
        </w:rPr>
        <w:t xml:space="preserve"> </w:t>
      </w:r>
      <w:r w:rsidR="00790039" w:rsidRPr="00946561">
        <w:rPr>
          <w:color w:val="000000" w:themeColor="text1"/>
        </w:rPr>
        <w:t xml:space="preserve">i </w:t>
      </w:r>
      <w:r w:rsidR="0054400E">
        <w:rPr>
          <w:lang w:val="en-US"/>
        </w:rPr>
        <w:t>γ</w:t>
      </w:r>
      <w:r w:rsidR="0054400E">
        <w:t>-Fe</w:t>
      </w:r>
      <w:r w:rsidR="0054400E">
        <w:rPr>
          <w:vertAlign w:val="subscript"/>
        </w:rPr>
        <w:t>2</w:t>
      </w:r>
      <w:r w:rsidR="0054400E">
        <w:t>O</w:t>
      </w:r>
      <w:r w:rsidR="0054400E">
        <w:rPr>
          <w:vertAlign w:val="subscript"/>
        </w:rPr>
        <w:t>3</w:t>
      </w:r>
      <w:r w:rsidR="008479BF">
        <w:t>.</w:t>
      </w:r>
    </w:p>
    <w:p w14:paraId="23C8D385" w14:textId="17428673" w:rsidR="008479BF" w:rsidRDefault="008479BF" w:rsidP="008479BF">
      <w:pPr>
        <w:spacing w:line="240" w:lineRule="auto"/>
      </w:pPr>
      <w:r>
        <w:tab/>
        <w:t>Właściwości magnetyczne</w:t>
      </w:r>
      <w:r w:rsidR="00501F8E">
        <w:t xml:space="preserve"> wygrzewanych</w:t>
      </w:r>
      <w:r>
        <w:t xml:space="preserve"> nanocząstek </w:t>
      </w:r>
      <w:r w:rsidR="00501F8E">
        <w:t xml:space="preserve">zostały </w:t>
      </w:r>
      <w:r>
        <w:t xml:space="preserve">scharakteryzowany poprzez </w:t>
      </w:r>
      <w:r w:rsidR="00501F8E">
        <w:t xml:space="preserve">pomiar </w:t>
      </w:r>
      <w:r>
        <w:t>namagnesowani</w:t>
      </w:r>
      <w:r w:rsidR="00501F8E">
        <w:t>a</w:t>
      </w:r>
      <w:r>
        <w:t xml:space="preserve"> </w:t>
      </w:r>
      <w:r w:rsidR="00DD7A87">
        <w:t>i podatności magnetycznej</w:t>
      </w:r>
      <w:r>
        <w:t xml:space="preserve"> w pola</w:t>
      </w:r>
      <w:r w:rsidR="00DD7A87">
        <w:t>ch</w:t>
      </w:r>
      <w:r>
        <w:t xml:space="preserve"> do 9T i w </w:t>
      </w:r>
      <w:r w:rsidR="00DD7A87">
        <w:t xml:space="preserve">zakresie </w:t>
      </w:r>
      <w:r>
        <w:t xml:space="preserve">temperatur od 2K do 300K. </w:t>
      </w:r>
      <w:r w:rsidR="00DD7A87">
        <w:t>R</w:t>
      </w:r>
      <w:r>
        <w:t xml:space="preserve">ysunek </w:t>
      </w:r>
      <w:r w:rsidR="00515F36">
        <w:t>(</w:t>
      </w:r>
      <w:r w:rsidR="005C0653">
        <w:t>i wstawka</w:t>
      </w:r>
      <w:r w:rsidR="00515F36">
        <w:t xml:space="preserve">) </w:t>
      </w:r>
      <w:r>
        <w:t xml:space="preserve">przedstawia </w:t>
      </w:r>
      <w:r w:rsidR="00515F36">
        <w:t xml:space="preserve">zależności namagnesowania od pola magnetycznego </w:t>
      </w:r>
      <w:r>
        <w:t xml:space="preserve"> przeliczone</w:t>
      </w:r>
      <w:r w:rsidR="00515F36">
        <w:t xml:space="preserve"> na magnetyczną fazę </w:t>
      </w:r>
      <w:r>
        <w:t>Gd</w:t>
      </w:r>
      <w:r>
        <w:rPr>
          <w:vertAlign w:val="subscript"/>
        </w:rPr>
        <w:t>x</w:t>
      </w:r>
      <w:r>
        <w:t>Fe</w:t>
      </w:r>
      <w:r>
        <w:rPr>
          <w:vertAlign w:val="subscript"/>
        </w:rPr>
        <w:t>2-x</w:t>
      </w:r>
      <w:r>
        <w:t>O</w:t>
      </w:r>
      <w:r>
        <w:rPr>
          <w:vertAlign w:val="subscript"/>
        </w:rPr>
        <w:t>3</w:t>
      </w:r>
      <w:r w:rsidR="005A6AA2">
        <w:t xml:space="preserve"> razem </w:t>
      </w:r>
      <w:r>
        <w:t>SiO</w:t>
      </w:r>
      <w:r>
        <w:rPr>
          <w:vertAlign w:val="subscript"/>
        </w:rPr>
        <w:t>2</w:t>
      </w:r>
      <w:r>
        <w:t xml:space="preserve">, gdzie </w:t>
      </w:r>
      <w:r w:rsidR="00D86E9C">
        <w:br/>
      </w:r>
      <w:r w:rsidRPr="00515F36">
        <w:rPr>
          <w:i/>
          <w:iCs/>
        </w:rPr>
        <w:t>x</w:t>
      </w:r>
      <w:r>
        <w:t xml:space="preserve"> = 0; 0,03; 0,0</w:t>
      </w:r>
      <w:r w:rsidR="00515F36">
        <w:t>7</w:t>
      </w:r>
      <w:r w:rsidR="005C0653">
        <w:t xml:space="preserve"> (i </w:t>
      </w:r>
      <w:r w:rsidR="005C0653" w:rsidRPr="00946561">
        <w:rPr>
          <w:color w:val="000000" w:themeColor="text1"/>
        </w:rPr>
        <w:t xml:space="preserve">namagnesowania </w:t>
      </w:r>
      <w:r w:rsidR="004509AB" w:rsidRPr="00946561">
        <w:rPr>
          <w:i/>
          <w:iCs/>
          <w:color w:val="000000" w:themeColor="text1"/>
        </w:rPr>
        <w:t>M</w:t>
      </w:r>
      <w:r w:rsidR="00946561" w:rsidRPr="00946561">
        <w:rPr>
          <w:i/>
          <w:iCs/>
          <w:color w:val="000000" w:themeColor="text1"/>
        </w:rPr>
        <w:t xml:space="preserve"> </w:t>
      </w:r>
      <w:r w:rsidR="002A5D1E" w:rsidRPr="00946561">
        <w:rPr>
          <w:color w:val="000000" w:themeColor="text1"/>
        </w:rPr>
        <w:t>(</w:t>
      </w:r>
      <w:r w:rsidR="004509AB" w:rsidRPr="00946561">
        <w:rPr>
          <w:color w:val="000000" w:themeColor="text1"/>
        </w:rPr>
        <w:t>90</w:t>
      </w:r>
      <w:r w:rsidR="004509AB" w:rsidRPr="00946561">
        <w:rPr>
          <w:color w:val="000000" w:themeColor="text1"/>
          <w:vertAlign w:val="subscript"/>
        </w:rPr>
        <w:t xml:space="preserve"> </w:t>
      </w:r>
      <w:r w:rsidR="004509AB" w:rsidRPr="00946561">
        <w:rPr>
          <w:color w:val="000000" w:themeColor="text1"/>
        </w:rPr>
        <w:t>kOe)</w:t>
      </w:r>
      <w:r w:rsidR="00C03DA4" w:rsidRPr="00946561">
        <w:rPr>
          <w:color w:val="000000" w:themeColor="text1"/>
        </w:rPr>
        <w:t xml:space="preserve"> </w:t>
      </w:r>
      <w:r w:rsidR="005C0653" w:rsidRPr="00946561">
        <w:t>od</w:t>
      </w:r>
      <w:r w:rsidR="005C0653">
        <w:t xml:space="preserve"> </w:t>
      </w:r>
      <w:r w:rsidR="005C0653" w:rsidRPr="005C0653">
        <w:rPr>
          <w:i/>
          <w:iCs/>
        </w:rPr>
        <w:t>x</w:t>
      </w:r>
      <w:r w:rsidR="005C0653">
        <w:t>)</w:t>
      </w:r>
      <w:r>
        <w:t xml:space="preserve">. </w:t>
      </w:r>
      <w:r w:rsidR="005C0653">
        <w:t>W</w:t>
      </w:r>
      <w:r>
        <w:t>idać, że dodanie gadolinu do tlenku żelaza</w:t>
      </w:r>
      <w:r w:rsidR="00DF76C6">
        <w:t xml:space="preserve"> praktycznie</w:t>
      </w:r>
      <w:r w:rsidR="005C0653">
        <w:t xml:space="preserve"> nie zmienia namagnesowania nanocząstek w 300K </w:t>
      </w:r>
      <w:r w:rsidR="00086192">
        <w:t>(w przeciwieństwie do np. nanocząstek CoFe</w:t>
      </w:r>
      <w:r w:rsidR="00086192">
        <w:rPr>
          <w:vertAlign w:val="subscript"/>
        </w:rPr>
        <w:t>2</w:t>
      </w:r>
      <w:r w:rsidR="00086192">
        <w:t>O</w:t>
      </w:r>
      <w:r w:rsidR="00086192">
        <w:rPr>
          <w:vertAlign w:val="subscript"/>
        </w:rPr>
        <w:t>4</w:t>
      </w:r>
      <w:r w:rsidR="00086192">
        <w:t xml:space="preserve"> w pracy [4]) </w:t>
      </w:r>
      <w:r w:rsidR="005C0653">
        <w:t>a</w:t>
      </w:r>
      <w:r>
        <w:t xml:space="preserve"> prowadzi do </w:t>
      </w:r>
      <w:r w:rsidR="00086192">
        <w:t xml:space="preserve">jego </w:t>
      </w:r>
      <w:r>
        <w:t>wzrostu w niskich temperaturach</w:t>
      </w:r>
      <w:r w:rsidR="00086192">
        <w:t>.</w:t>
      </w:r>
    </w:p>
    <w:p w14:paraId="50E49C2C" w14:textId="6A675933" w:rsidR="00EA609F" w:rsidRPr="00E901D3" w:rsidRDefault="00EA609F" w:rsidP="003E3D11">
      <w:pPr>
        <w:pStyle w:val="a5"/>
        <w:spacing w:line="240" w:lineRule="auto"/>
        <w:ind w:firstLine="0"/>
      </w:pPr>
    </w:p>
    <w:p w14:paraId="1B561BE6" w14:textId="2083E947" w:rsidR="006C6F7A" w:rsidRPr="00910362" w:rsidRDefault="00E901D3" w:rsidP="007A68A7">
      <w:pPr>
        <w:spacing w:line="240" w:lineRule="auto"/>
      </w:pPr>
      <w:r w:rsidRPr="00284B5C">
        <w:tab/>
      </w:r>
      <w:r w:rsidR="008479BF" w:rsidRPr="00910362">
        <w:t>Władysław Gumiennik dziękuje za wsparcie fina</w:t>
      </w:r>
      <w:r w:rsidR="00D86E9C">
        <w:t>nsowe z programu stypendialnego</w:t>
      </w:r>
      <w:bookmarkStart w:id="0" w:name="_GoBack"/>
      <w:bookmarkEnd w:id="0"/>
      <w:r w:rsidR="008479BF" w:rsidRPr="00910362">
        <w:t xml:space="preserve"> World Federation of Scientist. </w:t>
      </w:r>
      <w:r w:rsidR="00257BBE" w:rsidRPr="00910362">
        <w:t>P</w:t>
      </w:r>
      <w:r w:rsidR="00111C8D" w:rsidRPr="00910362">
        <w:t>raca była</w:t>
      </w:r>
      <w:r w:rsidR="008479BF" w:rsidRPr="00910362">
        <w:t xml:space="preserve"> też</w:t>
      </w:r>
      <w:r w:rsidR="00111C8D" w:rsidRPr="00910362">
        <w:t xml:space="preserve"> </w:t>
      </w:r>
      <w:r w:rsidR="00257BBE" w:rsidRPr="00910362">
        <w:t xml:space="preserve">finansowana </w:t>
      </w:r>
      <w:r w:rsidR="00111C8D" w:rsidRPr="00910362">
        <w:t xml:space="preserve">z projektu naukowego </w:t>
      </w:r>
      <w:r w:rsidR="00910362" w:rsidRPr="00910362">
        <w:br/>
      </w:r>
      <w:r w:rsidR="006C6F7A" w:rsidRPr="00910362">
        <w:t>BRFFR-MOST Х21VTNG-003.</w:t>
      </w:r>
    </w:p>
    <w:p w14:paraId="5BC15FDB" w14:textId="4299E0AF" w:rsidR="009807C3" w:rsidRPr="003E3D11" w:rsidRDefault="009807C3" w:rsidP="00825B50">
      <w:pPr>
        <w:spacing w:line="240" w:lineRule="auto"/>
        <w:rPr>
          <w:lang w:val="en-US"/>
        </w:rPr>
      </w:pPr>
      <w:r w:rsidRPr="007A68A7">
        <w:t>[</w:t>
      </w:r>
      <w:r w:rsidR="007A68A7" w:rsidRPr="007A68A7">
        <w:t>1] N.V.S. Vallabani, S.Singh, and A.S.</w:t>
      </w:r>
      <w:r w:rsidRPr="007A68A7">
        <w:t xml:space="preserve">Karakoti, </w:t>
      </w:r>
      <w:r w:rsidR="003E3D11" w:rsidRPr="007A68A7">
        <w:t xml:space="preserve">Cur. </w:t>
      </w:r>
      <w:r w:rsidR="003E3D11">
        <w:rPr>
          <w:lang w:val="en-US"/>
        </w:rPr>
        <w:t>Drug Met.</w:t>
      </w:r>
      <w:r w:rsidRPr="003E3D11">
        <w:rPr>
          <w:lang w:val="en-US"/>
        </w:rPr>
        <w:t xml:space="preserve">, </w:t>
      </w:r>
      <w:r w:rsidRPr="003E3D11">
        <w:rPr>
          <w:b/>
          <w:lang w:val="en-US"/>
        </w:rPr>
        <w:t>20</w:t>
      </w:r>
      <w:r w:rsidR="003E3D11">
        <w:rPr>
          <w:lang w:val="en-US"/>
        </w:rPr>
        <w:t xml:space="preserve">, </w:t>
      </w:r>
      <w:r w:rsidRPr="003E3D11">
        <w:rPr>
          <w:lang w:val="en-US"/>
        </w:rPr>
        <w:t>457–472 (2019)</w:t>
      </w:r>
    </w:p>
    <w:p w14:paraId="24872FAC" w14:textId="2E33D8A7" w:rsidR="009807C3" w:rsidRPr="00EA609F" w:rsidRDefault="009807C3" w:rsidP="00825B50">
      <w:pPr>
        <w:spacing w:line="240" w:lineRule="auto"/>
        <w:rPr>
          <w:lang w:val="en-US"/>
        </w:rPr>
      </w:pPr>
      <w:r w:rsidRPr="008705F3">
        <w:rPr>
          <w:lang w:val="en-US"/>
        </w:rPr>
        <w:t>[2]</w:t>
      </w:r>
      <w:r w:rsidR="00EA609F" w:rsidRPr="00EA609F">
        <w:rPr>
          <w:lang w:val="en-US"/>
        </w:rPr>
        <w:t xml:space="preserve"> </w:t>
      </w:r>
      <w:proofErr w:type="spellStart"/>
      <w:proofErr w:type="gramStart"/>
      <w:r w:rsidR="00EA609F" w:rsidRPr="00EA609F">
        <w:rPr>
          <w:lang w:val="en-US"/>
        </w:rPr>
        <w:t>F.</w:t>
      </w:r>
      <w:r w:rsidR="00EA609F">
        <w:rPr>
          <w:lang w:val="en-US"/>
        </w:rPr>
        <w:t>Ahangaran</w:t>
      </w:r>
      <w:proofErr w:type="spellEnd"/>
      <w:proofErr w:type="gramEnd"/>
      <w:r w:rsidR="00EA609F" w:rsidRPr="00EA609F">
        <w:rPr>
          <w:lang w:val="en-US"/>
        </w:rPr>
        <w:t xml:space="preserve">, </w:t>
      </w:r>
      <w:proofErr w:type="spellStart"/>
      <w:r w:rsidR="00EA609F" w:rsidRPr="00EA609F">
        <w:rPr>
          <w:lang w:val="en-US"/>
        </w:rPr>
        <w:t>A.Hassanzadeh</w:t>
      </w:r>
      <w:proofErr w:type="spellEnd"/>
      <w:r w:rsidR="00EA609F" w:rsidRPr="00EA609F">
        <w:rPr>
          <w:lang w:val="en-US"/>
        </w:rPr>
        <w:t xml:space="preserve">, </w:t>
      </w:r>
      <w:r w:rsidR="00EA609F">
        <w:rPr>
          <w:lang w:val="en-US"/>
        </w:rPr>
        <w:t>and</w:t>
      </w:r>
      <w:r w:rsidR="00EA609F" w:rsidRPr="00EA609F">
        <w:rPr>
          <w:lang w:val="en-US"/>
        </w:rPr>
        <w:t xml:space="preserve"> </w:t>
      </w:r>
      <w:proofErr w:type="spellStart"/>
      <w:r w:rsidR="00EA609F" w:rsidRPr="00EA609F">
        <w:rPr>
          <w:lang w:val="en-US"/>
        </w:rPr>
        <w:t>S.Nouri</w:t>
      </w:r>
      <w:proofErr w:type="spellEnd"/>
      <w:r w:rsidR="00EA609F" w:rsidRPr="00EA609F">
        <w:rPr>
          <w:lang w:val="en-US"/>
        </w:rPr>
        <w:t>, Int.</w:t>
      </w:r>
      <w:r w:rsidR="00EA609F">
        <w:rPr>
          <w:lang w:val="en-US"/>
        </w:rPr>
        <w:t xml:space="preserve"> Nano Lett. </w:t>
      </w:r>
      <w:r w:rsidR="00EA609F" w:rsidRPr="00EA609F">
        <w:rPr>
          <w:b/>
          <w:lang w:val="en-US"/>
        </w:rPr>
        <w:t>3</w:t>
      </w:r>
      <w:r w:rsidR="00EA609F">
        <w:rPr>
          <w:lang w:val="en-US"/>
        </w:rPr>
        <w:t>, 23 (2013).</w:t>
      </w:r>
    </w:p>
    <w:p w14:paraId="32320E00" w14:textId="35984B65" w:rsidR="009807C3" w:rsidRDefault="009807C3" w:rsidP="00825B50">
      <w:pPr>
        <w:spacing w:line="240" w:lineRule="auto"/>
        <w:rPr>
          <w:lang w:val="en-US"/>
        </w:rPr>
      </w:pPr>
      <w:r w:rsidRPr="008705F3">
        <w:rPr>
          <w:lang w:val="en-US"/>
        </w:rPr>
        <w:t xml:space="preserve">[3] </w:t>
      </w:r>
      <w:proofErr w:type="spellStart"/>
      <w:proofErr w:type="gramStart"/>
      <w:r w:rsidRPr="008705F3">
        <w:rPr>
          <w:lang w:val="en-US"/>
        </w:rPr>
        <w:t>D.</w:t>
      </w:r>
      <w:r w:rsidR="007A68A7">
        <w:rPr>
          <w:lang w:val="en-US"/>
        </w:rPr>
        <w:t>Li</w:t>
      </w:r>
      <w:proofErr w:type="spellEnd"/>
      <w:proofErr w:type="gramEnd"/>
      <w:r w:rsidR="007A68A7">
        <w:rPr>
          <w:lang w:val="en-US"/>
        </w:rPr>
        <w:t xml:space="preserve">, X.Hu, </w:t>
      </w:r>
      <w:proofErr w:type="spellStart"/>
      <w:r w:rsidR="007A68A7">
        <w:rPr>
          <w:lang w:val="en-US"/>
        </w:rPr>
        <w:t>Y.</w:t>
      </w:r>
      <w:r w:rsidR="003E3D11">
        <w:rPr>
          <w:lang w:val="en-US"/>
        </w:rPr>
        <w:t>Sun</w:t>
      </w:r>
      <w:proofErr w:type="spellEnd"/>
      <w:r w:rsidR="003E3D11">
        <w:rPr>
          <w:lang w:val="en-US"/>
        </w:rPr>
        <w:t xml:space="preserve"> et al.</w:t>
      </w:r>
      <w:r w:rsidRPr="008705F3">
        <w:rPr>
          <w:lang w:val="en-US"/>
        </w:rPr>
        <w:t xml:space="preserve">, RSC Adv., </w:t>
      </w:r>
      <w:r w:rsidRPr="009B7536">
        <w:rPr>
          <w:b/>
          <w:lang w:val="en-US"/>
        </w:rPr>
        <w:t>5</w:t>
      </w:r>
      <w:r w:rsidR="009B7536">
        <w:rPr>
          <w:lang w:val="en-US"/>
        </w:rPr>
        <w:t>,</w:t>
      </w:r>
      <w:r w:rsidRPr="008705F3">
        <w:rPr>
          <w:lang w:val="en-US"/>
        </w:rPr>
        <w:t xml:space="preserve"> 27091–27096</w:t>
      </w:r>
      <w:r w:rsidR="009B7536">
        <w:rPr>
          <w:lang w:val="en-US"/>
        </w:rPr>
        <w:t xml:space="preserve"> (2015)</w:t>
      </w:r>
    </w:p>
    <w:p w14:paraId="09D23A57" w14:textId="767DA2DE" w:rsidR="007E046B" w:rsidRPr="00284B5C" w:rsidRDefault="007A68A7" w:rsidP="007A68A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eastAsiaTheme="minorHAnsi"/>
          <w:lang w:val="en-US" w:eastAsia="en-US"/>
        </w:rPr>
      </w:pPr>
      <w:r>
        <w:rPr>
          <w:lang w:val="en-US"/>
        </w:rPr>
        <w:t xml:space="preserve">[4] </w:t>
      </w:r>
      <w:proofErr w:type="spellStart"/>
      <w:proofErr w:type="gramStart"/>
      <w:r>
        <w:rPr>
          <w:rFonts w:eastAsiaTheme="minorHAnsi"/>
          <w:lang w:val="en-US" w:eastAsia="en-US"/>
        </w:rPr>
        <w:t>J.Peng</w:t>
      </w:r>
      <w:proofErr w:type="spellEnd"/>
      <w:proofErr w:type="gramEnd"/>
      <w:r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M.Hojamberdiev</w:t>
      </w:r>
      <w:proofErr w:type="spellEnd"/>
      <w:r>
        <w:rPr>
          <w:rFonts w:eastAsiaTheme="minorHAnsi"/>
          <w:lang w:val="en-US" w:eastAsia="en-US"/>
        </w:rPr>
        <w:t xml:space="preserve">, </w:t>
      </w:r>
      <w:proofErr w:type="spellStart"/>
      <w:r>
        <w:rPr>
          <w:rFonts w:eastAsiaTheme="minorHAnsi"/>
          <w:lang w:val="en-US" w:eastAsia="en-US"/>
        </w:rPr>
        <w:t>Y.</w:t>
      </w:r>
      <w:r w:rsidRPr="007A68A7">
        <w:rPr>
          <w:rFonts w:eastAsiaTheme="minorHAnsi"/>
          <w:lang w:val="en-US" w:eastAsia="en-US"/>
        </w:rPr>
        <w:t>Xu</w:t>
      </w:r>
      <w:r>
        <w:rPr>
          <w:rFonts w:eastAsiaTheme="minorHAnsi"/>
          <w:lang w:val="en-US" w:eastAsia="en-US"/>
        </w:rPr>
        <w:t>et</w:t>
      </w:r>
      <w:proofErr w:type="spellEnd"/>
      <w:r>
        <w:rPr>
          <w:rFonts w:eastAsiaTheme="minorHAnsi"/>
          <w:lang w:val="en-US" w:eastAsia="en-US"/>
        </w:rPr>
        <w:t xml:space="preserve"> al., Jour. of Mag.</w:t>
      </w:r>
      <w:r w:rsidRPr="007A68A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a</w:t>
      </w:r>
      <w:r w:rsidRPr="007A68A7">
        <w:rPr>
          <w:rFonts w:eastAsiaTheme="minorHAnsi"/>
          <w:lang w:val="en-US" w:eastAsia="en-US"/>
        </w:rPr>
        <w:t>nd</w:t>
      </w:r>
      <w:r>
        <w:rPr>
          <w:rFonts w:eastAsiaTheme="minorHAnsi"/>
          <w:lang w:val="en-US" w:eastAsia="en-US"/>
        </w:rPr>
        <w:t xml:space="preserve"> </w:t>
      </w:r>
      <w:r w:rsidRPr="007A68A7">
        <w:rPr>
          <w:rFonts w:eastAsiaTheme="minorHAnsi"/>
          <w:lang w:val="en-US" w:eastAsia="en-US"/>
        </w:rPr>
        <w:t>Mag.</w:t>
      </w:r>
      <w:r>
        <w:rPr>
          <w:rFonts w:eastAsiaTheme="minorHAnsi"/>
          <w:lang w:val="en-US" w:eastAsia="en-US"/>
        </w:rPr>
        <w:t xml:space="preserve"> Mat.,</w:t>
      </w:r>
      <w:r w:rsidRPr="007A68A7">
        <w:rPr>
          <w:rFonts w:eastAsiaTheme="minorHAnsi"/>
          <w:lang w:val="en-US" w:eastAsia="en-US"/>
        </w:rPr>
        <w:t xml:space="preserve"> </w:t>
      </w:r>
      <w:r w:rsidRPr="007A68A7">
        <w:rPr>
          <w:rFonts w:eastAsiaTheme="minorHAnsi"/>
          <w:b/>
          <w:lang w:val="en-US" w:eastAsia="en-US"/>
        </w:rPr>
        <w:t>323</w:t>
      </w:r>
      <w:r>
        <w:rPr>
          <w:rFonts w:eastAsiaTheme="minorHAnsi"/>
          <w:b/>
          <w:lang w:val="en-US" w:eastAsia="en-US"/>
        </w:rPr>
        <w:t>,</w:t>
      </w:r>
      <w:r w:rsidRPr="007A68A7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133-137</w:t>
      </w:r>
      <w:r w:rsidR="00284B5C">
        <w:rPr>
          <w:rFonts w:eastAsiaTheme="minorHAnsi"/>
          <w:lang w:val="en-US" w:eastAsia="en-US"/>
        </w:rPr>
        <w:t xml:space="preserve"> (2011</w:t>
      </w:r>
      <w:r w:rsidR="00910362">
        <w:rPr>
          <w:rFonts w:eastAsiaTheme="minorHAnsi"/>
          <w:lang w:val="en-US" w:eastAsia="en-US"/>
        </w:rPr>
        <w:t>)</w:t>
      </w:r>
    </w:p>
    <w:sectPr w:rsidR="007E046B" w:rsidRPr="00284B5C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75C21"/>
    <w:rsid w:val="00086192"/>
    <w:rsid w:val="00111C8D"/>
    <w:rsid w:val="00127464"/>
    <w:rsid w:val="00153558"/>
    <w:rsid w:val="00257BBE"/>
    <w:rsid w:val="002732A3"/>
    <w:rsid w:val="00284B5C"/>
    <w:rsid w:val="002A5D1E"/>
    <w:rsid w:val="003942AE"/>
    <w:rsid w:val="003C3F1A"/>
    <w:rsid w:val="003E3D11"/>
    <w:rsid w:val="004509AB"/>
    <w:rsid w:val="00455692"/>
    <w:rsid w:val="00466E68"/>
    <w:rsid w:val="004A41AE"/>
    <w:rsid w:val="00501F8E"/>
    <w:rsid w:val="00515F36"/>
    <w:rsid w:val="0054400E"/>
    <w:rsid w:val="005A6AA2"/>
    <w:rsid w:val="005C0653"/>
    <w:rsid w:val="00665B0D"/>
    <w:rsid w:val="006A7106"/>
    <w:rsid w:val="006B470B"/>
    <w:rsid w:val="006C6F7A"/>
    <w:rsid w:val="00754365"/>
    <w:rsid w:val="00763973"/>
    <w:rsid w:val="00790039"/>
    <w:rsid w:val="007A68A7"/>
    <w:rsid w:val="007A7AF8"/>
    <w:rsid w:val="007E046B"/>
    <w:rsid w:val="007E77F6"/>
    <w:rsid w:val="00823D98"/>
    <w:rsid w:val="00825B50"/>
    <w:rsid w:val="008479BF"/>
    <w:rsid w:val="008705F3"/>
    <w:rsid w:val="00897CCE"/>
    <w:rsid w:val="008A081D"/>
    <w:rsid w:val="008C65A3"/>
    <w:rsid w:val="008F271C"/>
    <w:rsid w:val="00910362"/>
    <w:rsid w:val="00930727"/>
    <w:rsid w:val="00946561"/>
    <w:rsid w:val="009503EA"/>
    <w:rsid w:val="00960590"/>
    <w:rsid w:val="009807C3"/>
    <w:rsid w:val="009B7536"/>
    <w:rsid w:val="00B87554"/>
    <w:rsid w:val="00C03DA4"/>
    <w:rsid w:val="00C07E7F"/>
    <w:rsid w:val="00D15A7D"/>
    <w:rsid w:val="00D33DE6"/>
    <w:rsid w:val="00D86E9C"/>
    <w:rsid w:val="00DC29C6"/>
    <w:rsid w:val="00DD7A87"/>
    <w:rsid w:val="00DF76C6"/>
    <w:rsid w:val="00E901D3"/>
    <w:rsid w:val="00E9487E"/>
    <w:rsid w:val="00EA609F"/>
    <w:rsid w:val="00EA7F9A"/>
    <w:rsid w:val="00EF3ABF"/>
    <w:rsid w:val="00EF7B9D"/>
    <w:rsid w:val="00F236AB"/>
    <w:rsid w:val="00F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4:defaultImageDpi w14:val="330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7F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1">
    <w:name w:val="heading 1"/>
    <w:basedOn w:val="a"/>
    <w:next w:val="a"/>
    <w:link w:val="10"/>
    <w:qFormat/>
    <w:rsid w:val="003C3F1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3">
    <w:name w:val="Title"/>
    <w:basedOn w:val="a"/>
    <w:link w:val="a4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a4">
    <w:name w:val="Заголовок Знак"/>
    <w:basedOn w:val="a0"/>
    <w:link w:val="a3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a5">
    <w:name w:val="Body Text Indent"/>
    <w:basedOn w:val="a"/>
    <w:link w:val="a6"/>
    <w:semiHidden/>
    <w:rsid w:val="003C3F1A"/>
    <w:pPr>
      <w:tabs>
        <w:tab w:val="clear" w:pos="284"/>
      </w:tabs>
      <w:ind w:firstLine="284"/>
    </w:pPr>
  </w:style>
  <w:style w:type="character" w:customStyle="1" w:styleId="a6">
    <w:name w:val="Основной текст с отступом Знак"/>
    <w:basedOn w:val="a0"/>
    <w:link w:val="a5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a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a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a5"/>
    <w:rsid w:val="003C3F1A"/>
  </w:style>
  <w:style w:type="paragraph" w:styleId="a7">
    <w:name w:val="Normal (Web)"/>
    <w:basedOn w:val="a"/>
    <w:uiPriority w:val="99"/>
    <w:unhideWhenUsed/>
    <w:rsid w:val="00960590"/>
    <w:pPr>
      <w:tabs>
        <w:tab w:val="clear" w:pos="284"/>
      </w:tabs>
      <w:spacing w:before="100" w:beforeAutospacing="1" w:after="100" w:afterAutospacing="1" w:line="240" w:lineRule="auto"/>
      <w:jc w:val="left"/>
    </w:pPr>
    <w:rPr>
      <w:lang w:val="ru-RU" w:eastAsia="ru-RU"/>
    </w:rPr>
  </w:style>
  <w:style w:type="paragraph" w:styleId="a8">
    <w:name w:val="No Spacing"/>
    <w:uiPriority w:val="1"/>
    <w:qFormat/>
    <w:rsid w:val="00E901D3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a9">
    <w:name w:val="Table Grid"/>
    <w:basedOn w:val="a1"/>
    <w:uiPriority w:val="39"/>
    <w:rsid w:val="004A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7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Пользователь Windows</cp:lastModifiedBy>
  <cp:revision>5</cp:revision>
  <cp:lastPrinted>2022-05-01T18:20:00Z</cp:lastPrinted>
  <dcterms:created xsi:type="dcterms:W3CDTF">2022-05-01T18:19:00Z</dcterms:created>
  <dcterms:modified xsi:type="dcterms:W3CDTF">2022-05-01T18:28:00Z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